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绿色工业园区动态管理表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05"/>
        <w:gridCol w:w="1594"/>
        <w:gridCol w:w="1246"/>
        <w:gridCol w:w="582"/>
        <w:gridCol w:w="36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园区名称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所属批次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园区地址</w:t>
            </w:r>
          </w:p>
        </w:tc>
        <w:tc>
          <w:tcPr>
            <w:tcW w:w="628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填报信息联系人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联系人电话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电子邮件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产值（万元）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2019年：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2020年：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二、合规性信息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是否发生</w:t>
            </w:r>
            <w:r>
              <w:rPr>
                <w:rFonts w:hint="default" w:ascii="Times New Roman" w:hAnsi="Times New Roman" w:eastAsia="仿宋"/>
                <w:bCs/>
                <w:color w:val="000000"/>
                <w:kern w:val="0"/>
                <w:sz w:val="24"/>
                <w:highlight w:val="none"/>
              </w:rPr>
              <w:t>安全（含网络安全、数据安全）、质量、环境污染等事故以及偷漏税等违法违规行为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是否在国务院及有关部委相关督查工作中被发现存在严重问题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是否完成国家或地方政府下达的节能减排指标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是否因管理等原因，使园区边界与列入绿色制造名单时相比发生重大变更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（发生重大变更的应重新申报）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bCs/>
                <w:color w:val="000000"/>
                <w:kern w:val="0"/>
                <w:sz w:val="24"/>
              </w:rPr>
              <w:t>7.列入以来是否发生</w:t>
            </w: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4"/>
                <w:lang w:val="en-US" w:eastAsia="zh-CN"/>
              </w:rPr>
              <w:t>园区</w:t>
            </w:r>
            <w:r>
              <w:rPr>
                <w:rFonts w:hint="default" w:ascii="Times New Roman" w:hAnsi="Times New Roman" w:eastAsia="仿宋"/>
                <w:bCs/>
                <w:color w:val="000000"/>
                <w:kern w:val="0"/>
                <w:sz w:val="24"/>
              </w:rPr>
              <w:t>名称变更？（变更的应提供不存在</w:t>
            </w: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4"/>
                <w:lang w:eastAsia="zh-CN"/>
              </w:rPr>
              <w:t>4</w:t>
            </w:r>
            <w:r>
              <w:rPr>
                <w:rFonts w:hint="default" w:ascii="Times New Roman" w:hAnsi="Times New Roman" w:eastAsia="仿宋"/>
                <w:bCs/>
                <w:color w:val="000000"/>
                <w:kern w:val="0"/>
                <w:sz w:val="24"/>
              </w:rPr>
              <w:t>中情况的证明）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三、持续改进情况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指标名称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列入名单时指标值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2021年指标值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工业增加值（万元）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可再生能源消耗量（tce）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综合能耗总量（tce）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工业用新鲜水量（m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工业用地面积(km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工业固体废弃物综合利用率（%）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碳排放量（t）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COD排放量（t）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氨氮排放量（t）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二氧化硫排放量（t）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氮氧化物排放量（t）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四、列入名单以来开展的亮点工作</w:t>
            </w:r>
          </w:p>
        </w:tc>
        <w:tc>
          <w:tcPr>
            <w:tcW w:w="56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（介绍获批以来园区开展的亮点工作）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五、意见和建议</w:t>
            </w:r>
          </w:p>
        </w:tc>
        <w:tc>
          <w:tcPr>
            <w:tcW w:w="568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本园区承诺，已对本表内容进行了全面审核，信息真实有效，若存在弄虚作假，愿承担相应责任。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园区负责人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签字：（公章）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表注1：统计时间为列入名单以来。存在合规性信息中所述情况的，请另附情况说明。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2E2M2JhNDgwMGIyMzVjZDM1Y2VmNTc5MzM2YjEifQ=="/>
  </w:docVars>
  <w:rsids>
    <w:rsidRoot w:val="440538E6"/>
    <w:rsid w:val="05F2584F"/>
    <w:rsid w:val="32091EAF"/>
    <w:rsid w:val="39EA3732"/>
    <w:rsid w:val="4240029C"/>
    <w:rsid w:val="440538E6"/>
    <w:rsid w:val="583A5607"/>
    <w:rsid w:val="5D9A106F"/>
    <w:rsid w:val="6D0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2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619</Characters>
  <Lines>0</Lines>
  <Paragraphs>0</Paragraphs>
  <TotalTime>0</TotalTime>
  <ScaleCrop>false</ScaleCrop>
  <LinksUpToDate>false</LinksUpToDate>
  <CharactersWithSpaces>698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2022-09-21T07:14:00Z</dcterms:created>
  <dc:creator>小羲和吖</dc:creator>
  <cp:lastModifiedBy>小羲和吖</cp:lastModifiedBy>
  <dcterms:modified xsi:type="dcterms:W3CDTF">2022-09-21T07:20:39Z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B12C71F17FBD47A7BF3B447C3A9BF15F</vt:lpwstr>
  </property>
</Properties>
</file>